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Liberation Serif" w:hAnsi="Liberation Serif" w:cs="Liberation Serif"/>
          <w:color w:val="0070c0"/>
        </w:rPr>
      </w:pPr>
      <w:r>
        <w:rPr>
          <w:rFonts w:ascii="Liberation Serif" w:hAnsi="Liberation Serif" w:cs="Liberation Serif"/>
          <w:color w:val="0070c0"/>
        </w:rPr>
        <w:t xml:space="preserve">«</w:t>
      </w:r>
      <w:r>
        <w:rPr>
          <w:rFonts w:ascii="Liberation Serif" w:hAnsi="Liberation Serif" w:cs="Liberation Serif"/>
          <w:color w:val="0070c0"/>
        </w:rPr>
        <w:t xml:space="preserve">27</w:t>
      </w:r>
      <w:r>
        <w:rPr>
          <w:rFonts w:ascii="Liberation Serif" w:hAnsi="Liberation Serif" w:cs="Liberation Serif"/>
          <w:color w:val="0070c0"/>
        </w:rPr>
        <w:t xml:space="preserve">» апреля</w:t>
      </w:r>
      <w:r>
        <w:rPr>
          <w:rFonts w:ascii="Liberation Serif" w:hAnsi="Liberation Serif" w:cs="Liberation Serif"/>
          <w:color w:val="0070c0"/>
        </w:rPr>
        <w:t xml:space="preserve"> </w:t>
      </w:r>
      <w:r>
        <w:rPr>
          <w:rFonts w:ascii="Liberation Serif" w:hAnsi="Liberation Serif" w:cs="Liberation Serif"/>
          <w:color w:val="0070c0"/>
        </w:rPr>
        <w:t xml:space="preserve">2026 г.</w:t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  <w:t xml:space="preserve">№ </w:t>
      </w:r>
      <w:r>
        <w:rPr>
          <w:rFonts w:ascii="Liberation Serif" w:hAnsi="Liberation Serif" w:cs="Liberation Serif"/>
          <w:color w:val="0070c0"/>
        </w:rPr>
        <w:t xml:space="preserve">224775</w:t>
      </w:r>
      <w:r>
        <w:rPr>
          <w:rFonts w:ascii="Liberation Serif" w:hAnsi="Liberation Serif" w:cs="Liberation Serif"/>
          <w:color w:val="0070c0"/>
        </w:rPr>
      </w:r>
      <w:r>
        <w:rPr>
          <w:rFonts w:ascii="Liberation Serif" w:hAnsi="Liberation Serif" w:cs="Liberation Serif"/>
          <w:color w:val="0070c0"/>
        </w:rPr>
        <w:t xml:space="preserve">/1</w:t>
      </w:r>
      <w:r>
        <w:rPr>
          <w:rFonts w:ascii="Liberation Serif" w:hAnsi="Liberation Serif" w:cs="Liberation Serif"/>
          <w:color w:val="0070c0"/>
        </w:rPr>
      </w:r>
      <w:r>
        <w:rPr>
          <w:rFonts w:ascii="Liberation Serif" w:hAnsi="Liberation Serif" w:cs="Liberation Serif"/>
          <w:color w:val="0070c0"/>
        </w:rPr>
      </w:r>
    </w:p>
    <w:p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УВЕДОМЛЕНИЕ</w:t>
      </w: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jc w:val="center"/>
        <w:widowControl w:val="o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о продлении срока подачи заявок на участие в закупке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jc w:val="both"/>
        <w:widowControl w:val="o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ind w:firstLine="708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eastAsia="Liberation Serif" w:cs="Liberation Serif"/>
          <w:bCs/>
          <w:sz w:val="24"/>
          <w:szCs w:val="24"/>
        </w:rPr>
        <w:t xml:space="preserve">В целях удовлетворения нужд Заказчика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, </w:t>
      </w:r>
      <w:r>
        <w:rPr>
          <w:rFonts w:ascii="Liberation Serif" w:hAnsi="Liberation Serif" w:eastAsia="Liberation Serif" w:cs="Liberation Serif"/>
          <w:bCs/>
          <w:sz w:val="24"/>
          <w:szCs w:val="24"/>
        </w:rPr>
        <w:t xml:space="preserve">Организатор закупки ООО «Интер РАО ― Центр управления закупками» (119435, г. Москва, ул. Большая </w:t>
      </w:r>
      <w:r>
        <w:rPr>
          <w:rFonts w:ascii="Liberation Serif" w:hAnsi="Liberation Serif" w:eastAsia="Liberation Serif" w:cs="Liberation Serif"/>
          <w:bCs/>
          <w:sz w:val="24"/>
          <w:szCs w:val="24"/>
        </w:rPr>
        <w:t xml:space="preserve">Пироговская</w:t>
      </w:r>
      <w:r>
        <w:rPr>
          <w:rFonts w:ascii="Liberation Serif" w:hAnsi="Liberation Serif" w:eastAsia="Liberation Serif" w:cs="Liberation Serif"/>
          <w:bCs/>
          <w:sz w:val="24"/>
          <w:szCs w:val="24"/>
        </w:rPr>
        <w:t xml:space="preserve">, д. 27, стр. 3)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, на основании Закупочной документации по открытому конкурсу в электронной форме, участниками которого являются только субъекты малого и среднего предпринимательства на право заключения договора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на поставку: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Поставка картриджей для копировально-множительной техники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 для нужд ООО «ПетроЭнергоКонтроль»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,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настоящим сообщает о продлении срока подачи заявок на участие в закупке.</w:t>
      </w:r>
      <w:r>
        <w:rPr>
          <w:rFonts w:ascii="Liberation Serif" w:hAnsi="Liberation Serif" w:eastAsia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pStyle w:val="1003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1003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Учитывая вышесказанное, просим Извещение читать в следующей редакции: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1003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  <w:p>
      <w:pPr>
        <w:pStyle w:val="1005"/>
        <w:contextualSpacing w:val="0"/>
        <w:ind w:left="0"/>
        <w:jc w:val="both"/>
        <w:spacing w:before="60" w:after="60"/>
        <w:widowControl w:val="off"/>
        <w:rPr>
          <w:rFonts w:ascii="Liberation Serif" w:hAnsi="Liberation Serif" w:cs="Liberation Serif"/>
          <w:b/>
        </w:rPr>
        <w:outlineLvl w:val="0"/>
      </w:pPr>
      <w:r/>
      <w:bookmarkStart w:id="0" w:name="_Toc524680320"/>
      <w:r/>
      <w:bookmarkStart w:id="1" w:name="_Toc524680516"/>
      <w:r/>
      <w:bookmarkStart w:id="2" w:name="_Toc524680714"/>
      <w:r>
        <w:rPr>
          <w:rFonts w:ascii="Liberation Serif" w:hAnsi="Liberation Serif" w:cs="Liberation Serif"/>
          <w:b/>
        </w:rPr>
        <w:t xml:space="preserve">П.14 извещения: </w:t>
      </w:r>
      <w:bookmarkEnd w:id="0"/>
      <w:r/>
      <w:bookmarkEnd w:id="1"/>
      <w:r/>
      <w:bookmarkEnd w:id="2"/>
      <w:r>
        <w:rPr>
          <w:rFonts w:ascii="Liberation Serif" w:hAnsi="Liberation Serif" w:cs="Liberation Serif"/>
          <w:b/>
        </w:rPr>
      </w:r>
      <w:r>
        <w:rPr>
          <w:rFonts w:ascii="Liberation Serif" w:hAnsi="Liberation Serif" w:cs="Liberation Serif"/>
          <w:b/>
        </w:rPr>
      </w:r>
    </w:p>
    <w:p>
      <w:pPr>
        <w:jc w:val="both"/>
        <w:rPr>
          <w:rFonts w:ascii="Liberation Serif" w:hAnsi="Liberation Serif" w:cs="Liberation Serif"/>
        </w:rPr>
        <w:outlineLvl w:val="0"/>
      </w:pPr>
      <w:r>
        <w:rPr>
          <w:rFonts w:ascii="Liberation Serif" w:hAnsi="Liberation Serif" w:cs="Liberation Serif"/>
        </w:rPr>
        <w:t xml:space="preserve">Заявки на участие в закупке должны быть поданы с момента публикации изв</w:t>
      </w:r>
      <w:r>
        <w:rPr>
          <w:rFonts w:ascii="Liberation Serif" w:hAnsi="Liberation Serif" w:cs="Liberation Serif"/>
        </w:rPr>
        <w:t xml:space="preserve">ещения в единой информационной системе </w:t>
      </w:r>
      <w:r>
        <w:rPr>
          <w:rFonts w:ascii="Liberation Serif" w:hAnsi="Liberation Serif" w:cs="Liberation Serif"/>
          <w:i/>
          <w:color w:val="0070c0"/>
        </w:rPr>
        <w:t xml:space="preserve">до 14:00 (по московскому времени) «</w:t>
      </w:r>
      <w:r>
        <w:rPr>
          <w:rFonts w:ascii="Liberation Serif" w:hAnsi="Liberation Serif" w:cs="Liberation Serif"/>
          <w:i/>
          <w:color w:val="0070c0"/>
        </w:rPr>
        <w:t xml:space="preserve">04</w:t>
      </w:r>
      <w:r>
        <w:rPr>
          <w:rFonts w:ascii="Liberation Serif" w:hAnsi="Liberation Serif" w:cs="Liberation Serif"/>
          <w:i/>
          <w:color w:val="0070c0"/>
        </w:rPr>
        <w:t xml:space="preserve">» мая</w:t>
      </w:r>
      <w:r>
        <w:rPr>
          <w:rFonts w:ascii="Liberation Serif" w:hAnsi="Liberation Serif" w:cs="Liberation Serif"/>
          <w:i/>
          <w:color w:val="0070c0"/>
        </w:rPr>
        <w:t xml:space="preserve"> </w:t>
      </w:r>
      <w:r>
        <w:rPr>
          <w:rFonts w:ascii="Liberation Serif" w:hAnsi="Liberation Serif" w:cs="Liberation Serif"/>
          <w:i/>
          <w:color w:val="0070c0"/>
        </w:rPr>
        <w:t xml:space="preserve">2026 года</w:t>
      </w:r>
      <w:r>
        <w:rPr>
          <w:rFonts w:ascii="Liberation Serif" w:hAnsi="Liberation Serif" w:cs="Liberation Serif"/>
          <w:color w:val="0070c0"/>
        </w:rPr>
        <w:t xml:space="preserve"> </w:t>
      </w:r>
      <w:r>
        <w:rPr>
          <w:rFonts w:ascii="Liberation Serif" w:hAnsi="Liberation Serif" w:cs="Liberation Serif"/>
        </w:rPr>
        <w:t xml:space="preserve">через функционал электронной торговой площадки </w:t>
      </w:r>
      <w:hyperlink r:id="rId12" w:tooltip="https://irao.tektorg.ru" w:history="1">
        <w:r>
          <w:rPr>
            <w:rFonts w:ascii="Liberation Serif" w:hAnsi="Liberation Serif" w:cs="Liberation Serif"/>
            <w:color w:val="0070c0"/>
            <w:u w:val="single"/>
          </w:rPr>
          <w:t xml:space="preserve">https://irao.tektorg.ru</w:t>
        </w:r>
      </w:hyperlink>
      <w:r>
        <w:rPr>
          <w:rFonts w:ascii="Liberation Serif" w:hAnsi="Liberation Serif" w:cs="Liberation Serif"/>
          <w:color w:val="0067d5"/>
          <w:u w:val="single"/>
        </w:rPr>
        <w:t xml:space="preserve">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1005"/>
        <w:contextualSpacing w:val="0"/>
        <w:ind w:left="0"/>
        <w:jc w:val="both"/>
        <w:spacing w:before="60" w:after="60"/>
        <w:widowControl w:val="off"/>
        <w:rPr>
          <w:rFonts w:ascii="Liberation Serif" w:hAnsi="Liberation Serif" w:cs="Liberation Serif"/>
          <w:b/>
        </w:rPr>
        <w:outlineLvl w:val="0"/>
      </w:pPr>
      <w:r>
        <w:rPr>
          <w:rFonts w:ascii="Liberation Serif" w:hAnsi="Liberation Serif" w:cs="Liberation Serif"/>
          <w:b/>
        </w:rPr>
        <w:t xml:space="preserve">П.15 извещения: </w:t>
      </w:r>
      <w:r>
        <w:rPr>
          <w:rFonts w:ascii="Liberation Serif" w:hAnsi="Liberation Serif" w:cs="Liberation Serif"/>
          <w:b/>
        </w:rPr>
      </w:r>
      <w:r>
        <w:rPr>
          <w:rFonts w:ascii="Liberation Serif" w:hAnsi="Liberation Serif" w:cs="Liberation Serif"/>
          <w:b/>
        </w:rPr>
      </w:r>
    </w:p>
    <w:p>
      <w:pPr>
        <w:jc w:val="both"/>
        <w:tabs>
          <w:tab w:val="num" w:pos="567" w:leader="none"/>
        </w:tabs>
        <w:rPr>
          <w:rFonts w:ascii="Liberation Serif" w:hAnsi="Liberation Serif" w:cs="Liberation Serif"/>
          <w:b/>
        </w:rPr>
        <w:outlineLvl w:val="0"/>
      </w:pPr>
      <w:r/>
      <w:bookmarkStart w:id="3" w:name="_Toc524688871"/>
      <w:r>
        <w:rPr>
          <w:rFonts w:ascii="Liberation Serif" w:hAnsi="Liberation Serif" w:cs="Liberation Serif"/>
          <w:b/>
        </w:rPr>
        <w:t xml:space="preserve">Дата рассмотрения и оценки первых частей заявок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b/>
        </w:rPr>
        <w:t xml:space="preserve">на участие в закупке:</w:t>
      </w:r>
      <w:bookmarkEnd w:id="3"/>
      <w:r>
        <w:rPr>
          <w:rFonts w:ascii="Liberation Serif" w:hAnsi="Liberation Serif" w:cs="Liberation Serif"/>
          <w:b/>
        </w:rPr>
      </w:r>
      <w:r>
        <w:rPr>
          <w:rFonts w:ascii="Liberation Serif" w:hAnsi="Liberation Serif" w:cs="Liberation Serif"/>
          <w:b/>
        </w:rPr>
      </w:r>
    </w:p>
    <w:p>
      <w:pPr>
        <w:jc w:val="both"/>
        <w:rPr>
          <w:rFonts w:ascii="Liberation Serif" w:hAnsi="Liberation Serif" w:cs="Liberation Serif"/>
        </w:rPr>
        <w:outlineLvl w:val="0"/>
      </w:pPr>
      <w:r/>
      <w:bookmarkStart w:id="4" w:name="_Toc524680327"/>
      <w:r/>
      <w:bookmarkStart w:id="5" w:name="_Toc524680523"/>
      <w:r/>
      <w:bookmarkStart w:id="6" w:name="_Toc524680721"/>
      <w:r>
        <w:rPr>
          <w:rFonts w:ascii="Liberation Serif" w:hAnsi="Liberation Serif" w:cs="Liberation Serif"/>
          <w:i/>
          <w:color w:val="0070c0"/>
        </w:rPr>
        <w:t xml:space="preserve">«</w:t>
      </w:r>
      <w:r>
        <w:rPr>
          <w:rFonts w:ascii="Liberation Serif" w:hAnsi="Liberation Serif" w:cs="Liberation Serif"/>
          <w:i/>
          <w:color w:val="0070c0"/>
        </w:rPr>
        <w:t xml:space="preserve">21</w:t>
      </w:r>
      <w:r>
        <w:rPr>
          <w:rFonts w:ascii="Liberation Serif" w:hAnsi="Liberation Serif" w:cs="Liberation Serif"/>
          <w:i/>
          <w:color w:val="0070c0"/>
        </w:rPr>
        <w:t xml:space="preserve">» мая </w:t>
      </w:r>
      <w:r>
        <w:rPr>
          <w:rFonts w:ascii="Liberation Serif" w:hAnsi="Liberation Serif" w:cs="Liberation Serif"/>
          <w:i/>
          <w:color w:val="0070c0"/>
        </w:rPr>
        <w:t xml:space="preserve">2026 года</w:t>
      </w:r>
      <w:r>
        <w:rPr>
          <w:rFonts w:ascii="Liberation Serif" w:hAnsi="Liberation Serif" w:cs="Liberation Serif"/>
          <w:color w:val="0070c0"/>
        </w:rPr>
        <w:t xml:space="preserve">, </w:t>
      </w:r>
      <w:r>
        <w:rPr>
          <w:rFonts w:ascii="Liberation Serif" w:hAnsi="Liberation Serif" w:cs="Liberation Serif"/>
        </w:rPr>
        <w:t xml:space="preserve">в порядке определенном инструкциями и регламентом электронной торговой площадки </w:t>
      </w:r>
      <w:hyperlink r:id="rId13" w:tooltip="https://irao.tektorg.ru" w:history="1">
        <w:r>
          <w:rPr>
            <w:rFonts w:ascii="Liberation Serif" w:hAnsi="Liberation Serif" w:cs="Liberation Serif"/>
            <w:color w:val="0070c0"/>
            <w:u w:val="single"/>
          </w:rPr>
          <w:t xml:space="preserve">https://irao.t</w:t>
        </w:r>
        <w:r>
          <w:rPr>
            <w:rFonts w:ascii="Liberation Serif" w:hAnsi="Liberation Serif" w:cs="Liberation Serif"/>
            <w:color w:val="0070c0"/>
            <w:u w:val="single"/>
          </w:rPr>
          <w:t xml:space="preserve">ektorg.ru</w:t>
        </w:r>
      </w:hyperlink>
      <w:r>
        <w:rPr>
          <w:rFonts w:ascii="Liberation Serif" w:hAnsi="Liberation Serif" w:cs="Liberation Serif"/>
        </w:rPr>
        <w:t xml:space="preserve">.</w:t>
      </w:r>
      <w:bookmarkEnd w:id="4"/>
      <w:r/>
      <w:bookmarkEnd w:id="5"/>
      <w:r/>
      <w:bookmarkEnd w:id="6"/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1005"/>
        <w:contextualSpacing w:val="0"/>
        <w:ind w:left="0"/>
        <w:jc w:val="both"/>
        <w:spacing w:before="60" w:after="60"/>
        <w:widowControl w:val="off"/>
        <w:rPr>
          <w:rFonts w:ascii="Liberation Serif" w:hAnsi="Liberation Serif" w:cs="Liberation Serif"/>
          <w:b/>
        </w:rPr>
        <w:outlineLvl w:val="0"/>
      </w:pPr>
      <w:r/>
      <w:bookmarkStart w:id="7" w:name="_Toc524688873"/>
      <w:r>
        <w:rPr>
          <w:rFonts w:ascii="Liberation Serif" w:hAnsi="Liberation Serif" w:cs="Liberation Serif"/>
          <w:b/>
        </w:rPr>
        <w:t xml:space="preserve">П.16 извещения: </w:t>
      </w:r>
      <w:r>
        <w:rPr>
          <w:rFonts w:ascii="Liberation Serif" w:hAnsi="Liberation Serif" w:cs="Liberation Serif"/>
          <w:b/>
        </w:rPr>
      </w:r>
      <w:r>
        <w:rPr>
          <w:rFonts w:ascii="Liberation Serif" w:hAnsi="Liberation Serif" w:cs="Liberation Serif"/>
          <w:b/>
        </w:rPr>
      </w:r>
    </w:p>
    <w:p>
      <w:pPr>
        <w:jc w:val="both"/>
        <w:tabs>
          <w:tab w:val="num" w:pos="567" w:leader="none"/>
        </w:tabs>
        <w:rPr>
          <w:rFonts w:ascii="Liberation Serif" w:hAnsi="Liberation Serif" w:cs="Liberation Serif"/>
        </w:rPr>
        <w:outlineLvl w:val="0"/>
      </w:pPr>
      <w:r>
        <w:rPr>
          <w:rFonts w:ascii="Liberation Serif" w:hAnsi="Liberation Serif" w:cs="Liberation Serif"/>
          <w:b/>
        </w:rPr>
        <w:t xml:space="preserve">Дата рассмотрения и оценки вторых частей заявок на участие в закупке и ценовых предложений до:</w:t>
      </w:r>
      <w:bookmarkEnd w:id="7"/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contextualSpacing/>
        <w:jc w:val="both"/>
        <w:rPr>
          <w:rFonts w:ascii="Liberation Serif" w:hAnsi="Liberation Serif" w:cs="Liberation Serif"/>
        </w:rPr>
        <w:outlineLvl w:val="0"/>
      </w:pPr>
      <w:r/>
      <w:bookmarkStart w:id="8" w:name="_Toc524680329"/>
      <w:r/>
      <w:bookmarkStart w:id="9" w:name="_Toc524680525"/>
      <w:r/>
      <w:bookmarkStart w:id="10" w:name="_Toc524680723"/>
      <w:r/>
      <w:bookmarkStart w:id="11" w:name="_Toc524688874"/>
      <w:r>
        <w:rPr>
          <w:rFonts w:ascii="Liberation Serif" w:hAnsi="Liberation Serif" w:cs="Liberation Serif"/>
          <w:i/>
          <w:color w:val="0070c0"/>
        </w:rPr>
        <w:t xml:space="preserve">«</w:t>
      </w:r>
      <w:r>
        <w:rPr>
          <w:rFonts w:ascii="Liberation Serif" w:hAnsi="Liberation Serif" w:cs="Liberation Serif"/>
          <w:i/>
          <w:color w:val="0070c0"/>
        </w:rPr>
        <w:t xml:space="preserve">11</w:t>
      </w:r>
      <w:r>
        <w:rPr>
          <w:rFonts w:ascii="Liberation Serif" w:hAnsi="Liberation Serif" w:cs="Liberation Serif"/>
          <w:i/>
          <w:color w:val="0070c0"/>
        </w:rPr>
        <w:t xml:space="preserve">» июня</w:t>
      </w:r>
      <w:r>
        <w:rPr>
          <w:rFonts w:ascii="Liberation Serif" w:hAnsi="Liberation Serif" w:cs="Liberation Serif"/>
          <w:i/>
          <w:color w:val="0070c0"/>
        </w:rPr>
        <w:t xml:space="preserve"> </w:t>
      </w:r>
      <w:r>
        <w:rPr>
          <w:rFonts w:ascii="Liberation Serif" w:hAnsi="Liberation Serif" w:cs="Liberation Serif"/>
          <w:i/>
          <w:color w:val="0070c0"/>
        </w:rPr>
        <w:t xml:space="preserve">2026 года</w:t>
      </w:r>
      <w:r>
        <w:rPr>
          <w:rFonts w:ascii="Liberation Serif" w:hAnsi="Liberation Serif" w:cs="Liberation Serif"/>
        </w:rPr>
        <w:t xml:space="preserve">, в порядке определенном инструкциями и регламентом электронной торговой площадки </w:t>
      </w:r>
      <w:hyperlink r:id="rId14" w:tooltip="https://irao.tektorg.ru" w:history="1">
        <w:r>
          <w:rPr>
            <w:rFonts w:ascii="Liberation Serif" w:hAnsi="Liberation Serif" w:cs="Liberation Serif"/>
            <w:color w:val="0070c0"/>
            <w:u w:val="single"/>
          </w:rPr>
          <w:t xml:space="preserve">https://irao.tektorg.ru</w:t>
        </w:r>
      </w:hyperlink>
      <w:r>
        <w:rPr>
          <w:rFonts w:ascii="Liberation Serif" w:hAnsi="Liberation Serif" w:cs="Liberation Serif"/>
        </w:rPr>
        <w:t xml:space="preserve">.</w:t>
      </w:r>
      <w:bookmarkEnd w:id="8"/>
      <w:r/>
      <w:bookmarkEnd w:id="9"/>
      <w:r/>
      <w:bookmarkEnd w:id="10"/>
      <w:r/>
      <w:bookmarkEnd w:id="11"/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1005"/>
        <w:contextualSpacing w:val="0"/>
        <w:ind w:left="0"/>
        <w:jc w:val="both"/>
        <w:spacing w:before="60" w:after="60"/>
        <w:widowControl w:val="off"/>
        <w:rPr>
          <w:rFonts w:ascii="Liberation Serif" w:hAnsi="Liberation Serif" w:cs="Liberation Serif"/>
          <w:b/>
        </w:rPr>
        <w:outlineLvl w:val="0"/>
      </w:pPr>
      <w:r>
        <w:rPr>
          <w:rFonts w:ascii="Liberation Serif" w:hAnsi="Liberation Serif" w:cs="Liberation Serif"/>
          <w:b/>
        </w:rPr>
        <w:t xml:space="preserve">П.18.3 извещения: </w:t>
      </w:r>
      <w:r>
        <w:rPr>
          <w:rFonts w:ascii="Liberation Serif" w:hAnsi="Liberation Serif" w:cs="Liberation Serif"/>
          <w:b/>
        </w:rPr>
      </w:r>
      <w:r>
        <w:rPr>
          <w:rFonts w:ascii="Liberation Serif" w:hAnsi="Liberation Serif" w:cs="Liberation Serif"/>
          <w:b/>
        </w:rPr>
      </w:r>
    </w:p>
    <w:p>
      <w:pPr>
        <w:contextualSpacing/>
        <w:jc w:val="both"/>
        <w:rPr>
          <w:rFonts w:ascii="Liberation Serif" w:hAnsi="Liberation Serif" w:cs="Liberation Serif"/>
          <w:b/>
        </w:rPr>
        <w:outlineLvl w:val="0"/>
      </w:pPr>
      <w:r/>
      <w:bookmarkStart w:id="12" w:name="_Toc524680336"/>
      <w:r/>
      <w:bookmarkStart w:id="13" w:name="_Toc524680532"/>
      <w:r/>
      <w:bookmarkStart w:id="14" w:name="_Toc524680730"/>
      <w:r>
        <w:rPr>
          <w:rFonts w:ascii="Liberation Serif" w:hAnsi="Liberation Serif" w:cs="Liberation Serif"/>
        </w:rPr>
        <w:t xml:space="preserve">Этап сопоставления дополнительных ценовых предложений участников закупки о снижении цены договора, осуществляется с использованием программно-аппаратных средств электронной</w:t>
      </w:r>
      <w:r>
        <w:rPr>
          <w:rFonts w:ascii="Liberation Serif" w:hAnsi="Liberation Serif" w:cs="Liberation Serif"/>
        </w:rPr>
        <w:t xml:space="preserve"> торговой площадки, и проводится оператором электронной торговой площадки – </w:t>
      </w:r>
      <w:bookmarkEnd w:id="12"/>
      <w:r/>
      <w:bookmarkEnd w:id="13"/>
      <w:r/>
      <w:bookmarkEnd w:id="14"/>
      <w:r>
        <w:rPr>
          <w:rFonts w:ascii="Liberation Serif" w:hAnsi="Liberation Serif" w:cs="Liberation Serif"/>
          <w:b/>
        </w:rPr>
        <w:t xml:space="preserve">проводится.</w:t>
      </w:r>
      <w:r>
        <w:rPr>
          <w:rFonts w:ascii="Liberation Serif" w:hAnsi="Liberation Serif" w:cs="Liberation Serif"/>
          <w:b/>
        </w:rPr>
      </w:r>
      <w:r>
        <w:rPr>
          <w:rFonts w:ascii="Liberation Serif" w:hAnsi="Liberation Serif" w:cs="Liberation Serif"/>
          <w:b/>
        </w:rPr>
      </w:r>
    </w:p>
    <w:p>
      <w:pPr>
        <w:contextualSpacing/>
        <w:jc w:val="both"/>
        <w:rPr>
          <w:rFonts w:ascii="Liberation Serif" w:hAnsi="Liberation Serif" w:cs="Liberation Serif"/>
        </w:rPr>
        <w:outlineLvl w:val="0"/>
      </w:pPr>
      <w:r/>
      <w:bookmarkStart w:id="15" w:name="_Toc524680337"/>
      <w:r/>
      <w:bookmarkStart w:id="16" w:name="_Toc524680533"/>
      <w:r/>
      <w:bookmarkStart w:id="17" w:name="_Toc524680731"/>
      <w:r>
        <w:rPr>
          <w:rFonts w:ascii="Liberation Serif" w:hAnsi="Liberation Serif" w:cs="Liberation Serif"/>
        </w:rPr>
        <w:t xml:space="preserve">Дата подачи дополнительных ценовых предложений (Информация о времени начала подачи дополнительных ценовых предложений размещается оператором ЭТП в ЕИС, в соответствии со временем часовой зоны, в которой расположен заказчик):</w:t>
      </w:r>
      <w:r>
        <w:rPr>
          <w:rFonts w:ascii="Liberation Serif" w:hAnsi="Liberation Serif" w:cs="Liberation Serif"/>
          <w:color w:val="0070c0"/>
        </w:rPr>
        <w:t xml:space="preserve"> </w:t>
      </w:r>
      <w:r>
        <w:rPr>
          <w:rFonts w:ascii="Liberation Serif" w:hAnsi="Liberation Serif" w:cs="Liberation Serif"/>
          <w:i/>
          <w:color w:val="0070c0"/>
        </w:rPr>
        <w:t xml:space="preserve">«</w:t>
      </w:r>
      <w:r>
        <w:rPr>
          <w:rFonts w:ascii="Liberation Serif" w:hAnsi="Liberation Serif" w:cs="Liberation Serif"/>
          <w:i/>
          <w:color w:val="0070c0"/>
        </w:rPr>
        <w:t xml:space="preserve">22</w:t>
      </w:r>
      <w:r>
        <w:rPr>
          <w:rFonts w:ascii="Liberation Serif" w:hAnsi="Liberation Serif" w:cs="Liberation Serif"/>
          <w:i/>
          <w:color w:val="0070c0"/>
        </w:rPr>
        <w:t xml:space="preserve">» мая </w:t>
      </w:r>
      <w:r>
        <w:rPr>
          <w:rFonts w:ascii="Liberation Serif" w:hAnsi="Liberation Serif" w:cs="Liberation Serif"/>
          <w:i/>
          <w:color w:val="0070c0"/>
        </w:rPr>
        <w:t xml:space="preserve">2026 года</w:t>
      </w:r>
      <w:bookmarkEnd w:id="15"/>
      <w:r/>
      <w:bookmarkEnd w:id="16"/>
      <w:r/>
      <w:bookmarkEnd w:id="17"/>
      <w:r>
        <w:rPr>
          <w:rFonts w:ascii="Liberation Serif" w:hAnsi="Liberation Serif" w:cs="Liberation Serif"/>
          <w:color w:val="0070c0"/>
        </w:rPr>
        <w:t xml:space="preserve">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1005"/>
        <w:contextualSpacing w:val="0"/>
        <w:ind w:left="0"/>
        <w:jc w:val="both"/>
        <w:spacing w:before="60" w:after="60"/>
        <w:widowControl w:val="off"/>
        <w:rPr>
          <w:rFonts w:ascii="Liberation Serif" w:hAnsi="Liberation Serif" w:cs="Liberation Serif"/>
          <w:b/>
        </w:rPr>
        <w:outlineLvl w:val="0"/>
      </w:pPr>
      <w:r>
        <w:rPr>
          <w:rFonts w:ascii="Liberation Serif" w:hAnsi="Liberation Serif" w:cs="Liberation Serif"/>
          <w:b/>
        </w:rPr>
        <w:t xml:space="preserve">П.25 </w:t>
      </w:r>
      <w:r>
        <w:rPr>
          <w:rFonts w:ascii="Liberation Serif" w:hAnsi="Liberation Serif" w:cs="Liberation Serif"/>
          <w:b/>
        </w:rPr>
        <w:t xml:space="preserve">извещения: </w:t>
      </w:r>
      <w:r>
        <w:rPr>
          <w:rFonts w:ascii="Liberation Serif" w:hAnsi="Liberation Serif" w:cs="Liberation Serif"/>
          <w:b/>
        </w:rPr>
      </w:r>
      <w:r>
        <w:rPr>
          <w:rFonts w:ascii="Liberation Serif" w:hAnsi="Liberation Serif" w:cs="Liberation Serif"/>
          <w:b/>
        </w:rPr>
      </w:r>
    </w:p>
    <w:p>
      <w:pPr>
        <w:contextualSpacing/>
        <w:jc w:val="both"/>
        <w:widowControl w:val="off"/>
        <w:rPr>
          <w:rFonts w:ascii="Liberation Serif" w:hAnsi="Liberation Serif" w:cs="Liberation Serif"/>
        </w:rPr>
        <w:outlineLvl w:val="0"/>
      </w:pPr>
      <w:r/>
      <w:bookmarkStart w:id="18" w:name="_Toc524680349"/>
      <w:r/>
      <w:bookmarkStart w:id="19" w:name="_Toc524680545"/>
      <w:r/>
      <w:bookmarkStart w:id="20" w:name="_Toc524680743"/>
      <w:r>
        <w:rPr>
          <w:rFonts w:ascii="Liberation Serif" w:hAnsi="Liberation Serif" w:cs="Liberation Serif"/>
          <w:b/>
        </w:rPr>
        <w:t xml:space="preserve">Итоговый протокол/Подведение итогов закупки:</w:t>
      </w:r>
      <w:bookmarkEnd w:id="18"/>
      <w:r/>
      <w:bookmarkEnd w:id="19"/>
      <w:r/>
      <w:bookmarkEnd w:id="20"/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contextualSpacing/>
        <w:jc w:val="both"/>
        <w:rPr>
          <w:rFonts w:ascii="Liberation Serif" w:hAnsi="Liberation Serif" w:cs="Liberation Serif"/>
        </w:rPr>
        <w:outlineLvl w:val="0"/>
      </w:pPr>
      <w:r/>
      <w:bookmarkStart w:id="21" w:name="_Toc524680350"/>
      <w:r/>
      <w:bookmarkStart w:id="22" w:name="_Toc524680546"/>
      <w:r/>
      <w:bookmarkStart w:id="23" w:name="_Toc524680744"/>
      <w:r>
        <w:rPr>
          <w:rFonts w:ascii="Liberation Serif" w:hAnsi="Liberation Serif" w:cs="Liberation Serif"/>
        </w:rPr>
        <w:t xml:space="preserve">По окончании последнего этапа закупки, по итогам которого определяется победитель, составляется итоговый протокол. Итоговый протокол публикуется на электронной торговой площадке и в единой информацио</w:t>
      </w:r>
      <w:r>
        <w:rPr>
          <w:rFonts w:ascii="Liberation Serif" w:hAnsi="Liberation Serif" w:cs="Liberation Serif"/>
        </w:rPr>
        <w:t xml:space="preserve">нной системе.</w:t>
      </w:r>
      <w:bookmarkEnd w:id="21"/>
      <w:r/>
      <w:bookmarkEnd w:id="22"/>
      <w:r/>
      <w:bookmarkEnd w:id="23"/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contextualSpacing/>
        <w:jc w:val="both"/>
        <w:rPr>
          <w:rFonts w:ascii="Liberation Serif" w:hAnsi="Liberation Serif" w:cs="Liberation Serif"/>
        </w:rPr>
        <w:outlineLvl w:val="0"/>
      </w:pPr>
      <w:r/>
      <w:bookmarkStart w:id="24" w:name="_Toc524680351"/>
      <w:r/>
      <w:bookmarkStart w:id="25" w:name="_Toc524680547"/>
      <w:r/>
      <w:bookmarkStart w:id="26" w:name="_Toc524680745"/>
      <w:r>
        <w:rPr>
          <w:rFonts w:ascii="Liberation Serif" w:hAnsi="Liberation Serif" w:cs="Liberation Serif"/>
        </w:rPr>
        <w:t xml:space="preserve">Дата подведения итогов: </w:t>
      </w:r>
      <w:bookmarkEnd w:id="24"/>
      <w:r/>
      <w:bookmarkEnd w:id="25"/>
      <w:r/>
      <w:bookmarkEnd w:id="26"/>
      <w:r>
        <w:rPr>
          <w:rFonts w:ascii="Liberation Serif" w:hAnsi="Liberation Serif" w:cs="Liberation Serif"/>
          <w:i/>
          <w:color w:val="0070c0"/>
        </w:rPr>
        <w:t xml:space="preserve">«</w:t>
      </w:r>
      <w:r>
        <w:rPr>
          <w:rFonts w:ascii="Liberation Serif" w:hAnsi="Liberation Serif" w:cs="Liberation Serif"/>
          <w:i/>
          <w:color w:val="0070c0"/>
        </w:rPr>
        <w:t xml:space="preserve">19</w:t>
      </w:r>
      <w:r>
        <w:rPr>
          <w:rFonts w:ascii="Liberation Serif" w:hAnsi="Liberation Serif" w:cs="Liberation Serif"/>
          <w:i/>
          <w:color w:val="0070c0"/>
        </w:rPr>
        <w:t xml:space="preserve">» июня</w:t>
      </w:r>
      <w:r>
        <w:rPr>
          <w:rFonts w:ascii="Liberation Serif" w:hAnsi="Liberation Serif" w:cs="Liberation Serif"/>
          <w:i/>
          <w:color w:val="0070c0"/>
        </w:rPr>
        <w:t xml:space="preserve"> </w:t>
      </w:r>
      <w:r>
        <w:rPr>
          <w:rFonts w:ascii="Liberation Serif" w:hAnsi="Liberation Serif" w:cs="Liberation Serif"/>
          <w:i/>
          <w:color w:val="0070c0"/>
        </w:rPr>
        <w:t xml:space="preserve">2026 года</w:t>
      </w:r>
      <w:r>
        <w:rPr>
          <w:rFonts w:ascii="Liberation Serif" w:hAnsi="Liberation Serif" w:cs="Liberation Serif"/>
          <w:color w:val="0070c0"/>
        </w:rPr>
        <w:t xml:space="preserve">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jc w:val="both"/>
        <w:rPr>
          <w:rFonts w:ascii="Liberation Serif" w:hAnsi="Liberation Serif" w:cs="Liberation Serif"/>
          <w:sz w:val="16"/>
          <w:szCs w:val="16"/>
        </w:rPr>
        <w:outlineLvl w:val="0"/>
      </w:pP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  <w:p>
      <w:pPr>
        <w:jc w:val="both"/>
        <w:rPr>
          <w:rFonts w:ascii="Liberation Serif" w:hAnsi="Liberation Serif" w:cs="Liberation Serif"/>
          <w:sz w:val="16"/>
          <w:szCs w:val="16"/>
        </w:rPr>
        <w:outlineLvl w:val="0"/>
      </w:pP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  <w:p>
      <w:pPr>
        <w:jc w:val="both"/>
        <w:rPr>
          <w:rFonts w:ascii="Liberation Serif" w:hAnsi="Liberation Serif" w:cs="Liberation Serif"/>
          <w:sz w:val="16"/>
          <w:szCs w:val="16"/>
        </w:rPr>
        <w:outlineLvl w:val="0"/>
      </w:pP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  <w:p>
      <w:pPr>
        <w:jc w:val="both"/>
        <w:rPr>
          <w:rFonts w:ascii="Liberation Serif" w:hAnsi="Liberation Serif" w:cs="Liberation Serif"/>
          <w:sz w:val="16"/>
          <w:szCs w:val="16"/>
        </w:rPr>
        <w:outlineLvl w:val="0"/>
      </w:pP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  <w:p>
      <w:pPr>
        <w:jc w:val="both"/>
        <w:rPr>
          <w:rFonts w:ascii="Liberation Serif" w:hAnsi="Liberation Serif" w:cs="Liberation Serif"/>
          <w:sz w:val="16"/>
          <w:szCs w:val="16"/>
        </w:rPr>
        <w:outlineLvl w:val="0"/>
      </w:pPr>
      <w:r/>
      <w:bookmarkStart w:id="27" w:name="_GoBack"/>
      <w:r/>
      <w:bookmarkEnd w:id="27"/>
      <w:r>
        <w:rPr>
          <w:rFonts w:ascii="Liberation Serif" w:hAnsi="Liberation Serif" w:cs="Liberation Serif"/>
          <w:sz w:val="16"/>
          <w:szCs w:val="16"/>
        </w:rPr>
        <w:t xml:space="preserve">Исп. Сухонина Т.А.</w:t>
      </w: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  <w:p>
      <w:pPr>
        <w:jc w:val="both"/>
        <w:rPr>
          <w:rFonts w:ascii="Liberation Serif" w:hAnsi="Liberation Serif" w:cs="Liberation Serif"/>
          <w:i/>
          <w:sz w:val="16"/>
          <w:szCs w:val="16"/>
        </w:rPr>
        <w:outlineLvl w:val="0"/>
      </w:pPr>
      <w:r>
        <w:rPr>
          <w:rFonts w:ascii="Liberation Serif" w:hAnsi="Liberation Serif" w:cs="Liberation Serif"/>
          <w:sz w:val="16"/>
          <w:szCs w:val="16"/>
        </w:rPr>
        <w:t xml:space="preserve">(495) 664-88-40 доб. 2791</w:t>
      </w:r>
      <w:r>
        <w:rPr>
          <w:rFonts w:ascii="Liberation Serif" w:hAnsi="Liberation Serif" w:cs="Liberation Serif"/>
          <w:i/>
          <w:sz w:val="16"/>
          <w:szCs w:val="16"/>
        </w:rPr>
      </w:r>
      <w:r>
        <w:rPr>
          <w:rFonts w:ascii="Liberation Serif" w:hAnsi="Liberation Serif" w:cs="Liberation Serif"/>
          <w:i/>
          <w:sz w:val="16"/>
          <w:szCs w:val="16"/>
        </w:rPr>
      </w:r>
    </w:p>
    <w:p>
      <w:pPr>
        <w:pStyle w:val="1003"/>
        <w:numPr>
          <w:ilvl w:val="0"/>
          <w:numId w:val="0"/>
        </w:numPr>
        <w:ind w:left="360" w:hanging="360"/>
        <w:tabs>
          <w:tab w:val="left" w:pos="1134" w:leader="none"/>
        </w:tabs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 xml:space="preserve">sukhonina_ta@interrao.ru</w:t>
      </w: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  <w:sectPr>
      <w:headerReference w:type="first" r:id="rId9"/>
      <w:footerReference w:type="default" r:id="rId10"/>
      <w:footnotePr/>
      <w:endnotePr/>
      <w:type w:val="nextPage"/>
      <w:pgSz w:w="11906" w:h="16838" w:orient="portrait"/>
      <w:pgMar w:top="851" w:right="567" w:bottom="851" w:left="1134" w:header="568" w:footer="221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 xml:space="preserve">Общество с ограниченной ответственностью «Интер РАО ― Центр управления закупками»</w:t>
    </w:r>
    <w:r>
      <w:rPr>
        <w:sz w:val="28"/>
        <w:szCs w:val="28"/>
      </w:rPr>
    </w:r>
    <w:r>
      <w:rPr>
        <w:sz w:val="28"/>
        <w:szCs w:val="28"/>
      </w:rPr>
    </w:r>
  </w:p>
  <w:p>
    <w:pPr>
      <w:pStyle w:val="100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>
      <w:tblPrEx/>
      <w:trPr>
        <w:trHeight w:val="991"/>
      </w:trPr>
      <w:tc>
        <w:tcPr>
          <w:tcW w:w="11907" w:type="dxa"/>
          <w:vAlign w:val="center"/>
          <w:textDirection w:val="lrTb"/>
          <w:noWrap w:val="false"/>
        </w:tcPr>
        <w:p>
          <w:pPr>
            <w:jc w:val="center"/>
            <w:widowControl w:val="off"/>
            <w:tabs>
              <w:tab w:val="left" w:pos="907" w:leader="none"/>
              <w:tab w:val="left" w:pos="8931" w:leader="none"/>
            </w:tabs>
            <w:rPr>
              <w:rFonts w:ascii="Liberation Serif" w:hAnsi="Liberation Serif" w:cs="Liberation Serif"/>
              <w:lang w:eastAsia="en-US"/>
            </w:rPr>
          </w:pPr>
          <w:r>
            <w:rPr>
              <w:rFonts w:ascii="Liberation Serif" w:hAnsi="Liberation Serif" w:cs="Liberation Serif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2162175" cy="695325"/>
                    <wp:effectExtent l="0" t="0" r="9525" b="9525"/>
                    <wp:docPr id="1" name="Рисунок 3" descr="Горизонтальный 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" descr="Горизонтальный JPG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162175" cy="695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70.25pt;height:54.75pt;mso-wrap-distance-left:0.00pt;mso-wrap-distance-top:0.00pt;mso-wrap-distance-right:0.00pt;mso-wrap-distance-bottom:0.00pt;" stroked="f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rFonts w:ascii="Liberation Serif" w:hAnsi="Liberation Serif" w:cs="Liberation Serif"/>
              <w:lang w:eastAsia="en-US"/>
            </w:rPr>
          </w:r>
          <w:r>
            <w:rPr>
              <w:rFonts w:ascii="Liberation Serif" w:hAnsi="Liberation Serif" w:cs="Liberation Serif"/>
              <w:lang w:eastAsia="en-US"/>
            </w:rPr>
          </w:r>
        </w:p>
      </w:tc>
    </w:tr>
    <w:tr>
      <w:tblPrEx/>
      <w:trPr>
        <w:trHeight w:val="707"/>
      </w:trPr>
      <w:tc>
        <w:tcPr>
          <w:tcW w:w="11907" w:type="dxa"/>
          <w:vAlign w:val="center"/>
          <w:textDirection w:val="lrTb"/>
          <w:noWrap w:val="false"/>
        </w:tcPr>
        <w:p>
          <w:pPr>
            <w:ind w:left="1168" w:right="1167"/>
            <w:jc w:val="center"/>
            <w:tabs>
              <w:tab w:val="left" w:pos="8931" w:leader="none"/>
            </w:tabs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Большая </w:t>
          </w: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Пироговская</w:t>
          </w: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r>
        </w:p>
        <w:p>
          <w:pPr>
            <w:jc w:val="center"/>
            <w:tabs>
              <w:tab w:val="left" w:pos="8931" w:leader="none"/>
            </w:tabs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Телефон: +7 (495) 664 8840, Факс: +7 (495) 664 8841</w:t>
          </w: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r>
        </w:p>
        <w:p>
          <w:pPr>
            <w:ind w:left="1168" w:right="1167"/>
            <w:jc w:val="center"/>
            <w:widowControl w:val="off"/>
            <w:tabs>
              <w:tab w:val="left" w:pos="8931" w:leader="none"/>
            </w:tabs>
            <w:rPr>
              <w:rFonts w:ascii="Liberation Serif" w:hAnsi="Liberation Serif" w:cs="Liberation Serif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www.interrao-zakupki.ru</w:t>
          </w:r>
          <w:r>
            <w:rPr>
              <w:rFonts w:ascii="Liberation Serif" w:hAnsi="Liberation Serif" w:cs="Liberation Serif"/>
              <w:sz w:val="18"/>
              <w:szCs w:val="18"/>
              <w:lang w:eastAsia="en-US"/>
            </w:rPr>
          </w:r>
          <w:r>
            <w:rPr>
              <w:rFonts w:ascii="Liberation Serif" w:hAnsi="Liberation Serif" w:cs="Liberation Serif"/>
              <w:sz w:val="18"/>
              <w:szCs w:val="18"/>
              <w:lang w:eastAsia="en-US"/>
            </w:rPr>
          </w:r>
        </w:p>
      </w:tc>
    </w:tr>
  </w:tbl>
  <w:p>
    <w:pPr>
      <w:pStyle w:val="99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3">
    <w:multiLevelType w:val="hybridMultilevel"/>
    <w:lvl w:ilvl="0">
      <w:start w:val="1"/>
      <w:numFmt w:val="decimal"/>
      <w:pStyle w:val="1018"/>
      <w:isLgl w:val="false"/>
      <w:suff w:val="tab"/>
      <w:lvlText w:val="%1."/>
      <w:lvlJc w:val="left"/>
      <w:pPr>
        <w:ind w:left="0" w:firstLine="567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126" w:hanging="708"/>
        <w:tabs>
          <w:tab w:val="num" w:pos="708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35" w:hanging="708"/>
        <w:tabs>
          <w:tab w:val="num" w:pos="2835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540" w:hanging="708"/>
        <w:tabs>
          <w:tab w:val="num" w:pos="708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248" w:hanging="708"/>
        <w:tabs>
          <w:tab w:val="num" w:pos="708" w:leader="none"/>
        </w:tabs>
      </w:pPr>
      <w:rPr>
        <w:rFonts w:hint="default"/>
      </w:r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64" w:hanging="708"/>
        <w:tabs>
          <w:tab w:val="num" w:pos="708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72" w:hanging="708"/>
        <w:tabs>
          <w:tab w:val="num" w:pos="708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080" w:hanging="708"/>
        <w:tabs>
          <w:tab w:val="num" w:pos="708" w:leader="none"/>
        </w:tabs>
      </w:pPr>
      <w:rPr>
        <w:rFonts w:hint="default"/>
      </w:rPr>
    </w:lvl>
  </w:abstractNum>
  <w:abstractNum w:abstractNumId="4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ind w:left="0" w:firstLine="0"/>
        <w:tabs>
          <w:tab w:val="num" w:pos="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3" w:hanging="720"/>
        <w:tabs>
          <w:tab w:val="num" w:pos="153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13" w:hanging="1080"/>
        <w:tabs>
          <w:tab w:val="num" w:pos="513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13" w:hanging="1080"/>
        <w:tabs>
          <w:tab w:val="num" w:pos="513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73" w:hanging="1440"/>
        <w:tabs>
          <w:tab w:val="num" w:pos="873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73" w:hanging="1440"/>
        <w:tabs>
          <w:tab w:val="num" w:pos="873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33" w:hanging="1800"/>
        <w:tabs>
          <w:tab w:val="num" w:pos="1233" w:leader="none"/>
        </w:tabs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pStyle w:val="1003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8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4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0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4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hint="default"/>
        <w:sz w:val="28"/>
        <w:szCs w:val="28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4" w:hanging="284"/>
        <w:tabs>
          <w:tab w:val="num" w:pos="0" w:leader="none"/>
        </w:tabs>
      </w:pPr>
      <w:rPr>
        <w:rFonts w:hint="default"/>
        <w:b w:val="0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  <w:rPr>
        <w:rFonts w:hint="default"/>
      </w:rPr>
    </w:lvl>
    <w:lvl w:ilvl="1">
      <w:start w:val="8"/>
      <w:numFmt w:val="decimal"/>
      <w:isLgl w:val="false"/>
      <w:suff w:val="tab"/>
      <w:lvlText w:val="%2."/>
      <w:lvlJc w:val="left"/>
      <w:pPr>
        <w:ind w:left="0" w:firstLine="0"/>
        <w:tabs>
          <w:tab w:val="num" w:pos="0" w:leader="none"/>
        </w:tabs>
      </w:pPr>
      <w:rPr>
        <w:rFonts w:hint="default" w:ascii="Times New Roman" w:hAnsi="Times New Roman" w:eastAsia="Times New Roman" w:cs="Times New Roman"/>
        <w:i w:val="0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0" w:firstLine="0"/>
        <w:tabs>
          <w:tab w:val="num" w:pos="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3" w:hanging="720"/>
        <w:tabs>
          <w:tab w:val="num" w:pos="153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13" w:hanging="1080"/>
        <w:tabs>
          <w:tab w:val="num" w:pos="513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13" w:hanging="1080"/>
        <w:tabs>
          <w:tab w:val="num" w:pos="513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73" w:hanging="1440"/>
        <w:tabs>
          <w:tab w:val="num" w:pos="873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73" w:hanging="1440"/>
        <w:tabs>
          <w:tab w:val="num" w:pos="873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33" w:hanging="1800"/>
        <w:tabs>
          <w:tab w:val="num" w:pos="1233" w:leader="none"/>
        </w:tabs>
      </w:pPr>
      <w:rPr>
        <w:rFonts w:hint="default"/>
      </w:rPr>
    </w:lvl>
  </w:abstractNum>
  <w:abstractNum w:abstractNumId="24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5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21"/>
  </w:num>
  <w:num w:numId="4">
    <w:abstractNumId w:val="16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28"/>
  </w:num>
  <w:num w:numId="8">
    <w:abstractNumId w:val="6"/>
  </w:num>
  <w:num w:numId="9">
    <w:abstractNumId w:val="34"/>
  </w:num>
  <w:num w:numId="10">
    <w:abstractNumId w:val="0"/>
  </w:num>
  <w:num w:numId="11">
    <w:abstractNumId w:val="2"/>
  </w:num>
  <w:num w:numId="12">
    <w:abstractNumId w:val="14"/>
  </w:num>
  <w:num w:numId="13">
    <w:abstractNumId w:val="19"/>
  </w:num>
  <w:num w:numId="14">
    <w:abstractNumId w:val="5"/>
  </w:num>
  <w:num w:numId="15">
    <w:abstractNumId w:val="7"/>
  </w:num>
  <w:num w:numId="16">
    <w:abstractNumId w:val="32"/>
  </w:num>
  <w:num w:numId="17">
    <w:abstractNumId w:val="8"/>
  </w:num>
  <w:num w:numId="18">
    <w:abstractNumId w:val="17"/>
  </w:num>
  <w:num w:numId="19">
    <w:abstractNumId w:val="31"/>
  </w:num>
  <w:num w:numId="20">
    <w:abstractNumId w:val="1"/>
  </w:num>
  <w:num w:numId="21">
    <w:abstractNumId w:val="27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0"/>
  </w:num>
  <w:num w:numId="25">
    <w:abstractNumId w:val="22"/>
  </w:num>
  <w:num w:numId="26">
    <w:abstractNumId w:val="12"/>
  </w:num>
  <w:num w:numId="27">
    <w:abstractNumId w:val="20"/>
  </w:num>
  <w:num w:numId="28">
    <w:abstractNumId w:val="4"/>
  </w:num>
  <w:num w:numId="29">
    <w:abstractNumId w:val="25"/>
  </w:num>
  <w:num w:numId="30">
    <w:abstractNumId w:val="29"/>
  </w:num>
  <w:num w:numId="31">
    <w:abstractNumId w:val="24"/>
  </w:num>
  <w:num w:numId="32">
    <w:abstractNumId w:val="9"/>
  </w:num>
  <w:num w:numId="33">
    <w:abstractNumId w:val="26"/>
  </w:num>
  <w:num w:numId="34">
    <w:abstractNumId w:val="18"/>
  </w:num>
  <w:num w:numId="35">
    <w:abstractNumId w:val="23"/>
  </w:num>
  <w:num w:numId="36">
    <w:abstractNumId w:val="11"/>
  </w:num>
  <w:num w:numId="37">
    <w:abstractNumId w:val="3"/>
  </w:num>
  <w:num w:numId="38">
    <w:abstractNumId w:val="18"/>
  </w:num>
  <w:num w:numId="39">
    <w:abstractNumId w:val="18"/>
  </w:num>
  <w:num w:numId="40">
    <w:abstractNumId w:val="18"/>
  </w:num>
  <w:num w:numId="41">
    <w:abstractNumId w:val="18"/>
  </w:num>
  <w:num w:numId="42">
    <w:abstractNumId w:val="18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05">
    <w:name w:val="Heading 1 Char"/>
    <w:basedOn w:val="831"/>
    <w:link w:val="822"/>
    <w:uiPriority w:val="9"/>
    <w:rPr>
      <w:rFonts w:ascii="Arial" w:hAnsi="Arial" w:eastAsia="Arial" w:cs="Arial"/>
      <w:sz w:val="40"/>
      <w:szCs w:val="40"/>
    </w:rPr>
  </w:style>
  <w:style w:type="character" w:styleId="806">
    <w:name w:val="Heading 2 Char"/>
    <w:basedOn w:val="831"/>
    <w:link w:val="823"/>
    <w:uiPriority w:val="9"/>
    <w:rPr>
      <w:rFonts w:ascii="Arial" w:hAnsi="Arial" w:eastAsia="Arial" w:cs="Arial"/>
      <w:sz w:val="34"/>
    </w:rPr>
  </w:style>
  <w:style w:type="character" w:styleId="807">
    <w:name w:val="Heading 3 Char"/>
    <w:basedOn w:val="831"/>
    <w:link w:val="824"/>
    <w:uiPriority w:val="9"/>
    <w:rPr>
      <w:rFonts w:ascii="Arial" w:hAnsi="Arial" w:eastAsia="Arial" w:cs="Arial"/>
      <w:sz w:val="30"/>
      <w:szCs w:val="30"/>
    </w:rPr>
  </w:style>
  <w:style w:type="character" w:styleId="808">
    <w:name w:val="Heading 4 Char"/>
    <w:basedOn w:val="831"/>
    <w:link w:val="825"/>
    <w:uiPriority w:val="9"/>
    <w:rPr>
      <w:rFonts w:ascii="Arial" w:hAnsi="Arial" w:eastAsia="Arial" w:cs="Arial"/>
      <w:b/>
      <w:bCs/>
      <w:sz w:val="26"/>
      <w:szCs w:val="26"/>
    </w:rPr>
  </w:style>
  <w:style w:type="character" w:styleId="809">
    <w:name w:val="Heading 5 Char"/>
    <w:basedOn w:val="831"/>
    <w:link w:val="826"/>
    <w:uiPriority w:val="9"/>
    <w:rPr>
      <w:rFonts w:ascii="Arial" w:hAnsi="Arial" w:eastAsia="Arial" w:cs="Arial"/>
      <w:b/>
      <w:bCs/>
      <w:sz w:val="24"/>
      <w:szCs w:val="24"/>
    </w:rPr>
  </w:style>
  <w:style w:type="character" w:styleId="810">
    <w:name w:val="Heading 6 Char"/>
    <w:basedOn w:val="831"/>
    <w:link w:val="827"/>
    <w:uiPriority w:val="9"/>
    <w:rPr>
      <w:rFonts w:ascii="Arial" w:hAnsi="Arial" w:eastAsia="Arial" w:cs="Arial"/>
      <w:b/>
      <w:bCs/>
      <w:sz w:val="22"/>
      <w:szCs w:val="22"/>
    </w:rPr>
  </w:style>
  <w:style w:type="character" w:styleId="811">
    <w:name w:val="Heading 7 Char"/>
    <w:basedOn w:val="831"/>
    <w:link w:val="8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2">
    <w:name w:val="Heading 8 Char"/>
    <w:basedOn w:val="831"/>
    <w:link w:val="829"/>
    <w:uiPriority w:val="9"/>
    <w:rPr>
      <w:rFonts w:ascii="Arial" w:hAnsi="Arial" w:eastAsia="Arial" w:cs="Arial"/>
      <w:i/>
      <w:iCs/>
      <w:sz w:val="22"/>
      <w:szCs w:val="22"/>
    </w:rPr>
  </w:style>
  <w:style w:type="character" w:styleId="813">
    <w:name w:val="Heading 9 Char"/>
    <w:basedOn w:val="831"/>
    <w:link w:val="830"/>
    <w:uiPriority w:val="9"/>
    <w:rPr>
      <w:rFonts w:ascii="Arial" w:hAnsi="Arial" w:eastAsia="Arial" w:cs="Arial"/>
      <w:i/>
      <w:iCs/>
      <w:sz w:val="21"/>
      <w:szCs w:val="21"/>
    </w:rPr>
  </w:style>
  <w:style w:type="character" w:styleId="814">
    <w:name w:val="Title Char"/>
    <w:basedOn w:val="831"/>
    <w:link w:val="844"/>
    <w:uiPriority w:val="10"/>
    <w:rPr>
      <w:sz w:val="48"/>
      <w:szCs w:val="48"/>
    </w:rPr>
  </w:style>
  <w:style w:type="character" w:styleId="815">
    <w:name w:val="Subtitle Char"/>
    <w:basedOn w:val="831"/>
    <w:link w:val="846"/>
    <w:uiPriority w:val="11"/>
    <w:rPr>
      <w:sz w:val="24"/>
      <w:szCs w:val="24"/>
    </w:rPr>
  </w:style>
  <w:style w:type="character" w:styleId="816">
    <w:name w:val="Quote Char"/>
    <w:link w:val="848"/>
    <w:uiPriority w:val="29"/>
    <w:rPr>
      <w:i/>
    </w:rPr>
  </w:style>
  <w:style w:type="character" w:styleId="817">
    <w:name w:val="Intense Quote Char"/>
    <w:link w:val="850"/>
    <w:uiPriority w:val="30"/>
    <w:rPr>
      <w:i/>
    </w:rPr>
  </w:style>
  <w:style w:type="character" w:styleId="818">
    <w:name w:val="Caption Char"/>
    <w:basedOn w:val="831"/>
    <w:link w:val="854"/>
    <w:uiPriority w:val="35"/>
    <w:rPr>
      <w:b/>
      <w:bCs/>
      <w:color w:val="4f81bd" w:themeColor="accent1"/>
      <w:sz w:val="18"/>
      <w:szCs w:val="18"/>
    </w:rPr>
  </w:style>
  <w:style w:type="character" w:styleId="819">
    <w:name w:val="Footnote Text Char"/>
    <w:link w:val="981"/>
    <w:uiPriority w:val="99"/>
    <w:rPr>
      <w:sz w:val="18"/>
    </w:rPr>
  </w:style>
  <w:style w:type="character" w:styleId="820">
    <w:name w:val="Endnote Text Char"/>
    <w:link w:val="983"/>
    <w:uiPriority w:val="99"/>
    <w:rPr>
      <w:sz w:val="20"/>
    </w:rPr>
  </w:style>
  <w:style w:type="paragraph" w:styleId="82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22">
    <w:name w:val="Heading 1"/>
    <w:basedOn w:val="821"/>
    <w:next w:val="821"/>
    <w:link w:val="83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23">
    <w:name w:val="Heading 2"/>
    <w:basedOn w:val="821"/>
    <w:next w:val="821"/>
    <w:link w:val="8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24">
    <w:name w:val="Heading 3"/>
    <w:basedOn w:val="821"/>
    <w:next w:val="821"/>
    <w:link w:val="83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25">
    <w:name w:val="Heading 4"/>
    <w:basedOn w:val="821"/>
    <w:next w:val="821"/>
    <w:link w:val="83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26">
    <w:name w:val="Heading 5"/>
    <w:basedOn w:val="821"/>
    <w:next w:val="821"/>
    <w:link w:val="83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827">
    <w:name w:val="Heading 6"/>
    <w:basedOn w:val="821"/>
    <w:next w:val="821"/>
    <w:link w:val="8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28">
    <w:name w:val="Heading 7"/>
    <w:basedOn w:val="821"/>
    <w:next w:val="821"/>
    <w:link w:val="8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29">
    <w:name w:val="Heading 8"/>
    <w:basedOn w:val="821"/>
    <w:next w:val="821"/>
    <w:link w:val="8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30">
    <w:name w:val="Heading 9"/>
    <w:basedOn w:val="821"/>
    <w:next w:val="821"/>
    <w:link w:val="84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character" w:styleId="834" w:customStyle="1">
    <w:name w:val="Заголовок 1 Знак"/>
    <w:basedOn w:val="831"/>
    <w:link w:val="822"/>
    <w:uiPriority w:val="9"/>
    <w:rPr>
      <w:rFonts w:ascii="Arial" w:hAnsi="Arial" w:eastAsia="Arial" w:cs="Arial"/>
      <w:sz w:val="40"/>
      <w:szCs w:val="40"/>
    </w:rPr>
  </w:style>
  <w:style w:type="character" w:styleId="835" w:customStyle="1">
    <w:name w:val="Заголовок 2 Знак"/>
    <w:basedOn w:val="831"/>
    <w:link w:val="823"/>
    <w:uiPriority w:val="9"/>
    <w:rPr>
      <w:rFonts w:ascii="Arial" w:hAnsi="Arial" w:eastAsia="Arial" w:cs="Arial"/>
      <w:sz w:val="34"/>
    </w:rPr>
  </w:style>
  <w:style w:type="character" w:styleId="836" w:customStyle="1">
    <w:name w:val="Заголовок 3 Знак"/>
    <w:basedOn w:val="831"/>
    <w:link w:val="824"/>
    <w:uiPriority w:val="9"/>
    <w:rPr>
      <w:rFonts w:ascii="Arial" w:hAnsi="Arial" w:eastAsia="Arial" w:cs="Arial"/>
      <w:sz w:val="30"/>
      <w:szCs w:val="30"/>
    </w:rPr>
  </w:style>
  <w:style w:type="character" w:styleId="837" w:customStyle="1">
    <w:name w:val="Заголовок 4 Знак"/>
    <w:basedOn w:val="831"/>
    <w:link w:val="825"/>
    <w:uiPriority w:val="9"/>
    <w:rPr>
      <w:rFonts w:ascii="Arial" w:hAnsi="Arial" w:eastAsia="Arial" w:cs="Arial"/>
      <w:b/>
      <w:bCs/>
      <w:sz w:val="26"/>
      <w:szCs w:val="26"/>
    </w:rPr>
  </w:style>
  <w:style w:type="character" w:styleId="838" w:customStyle="1">
    <w:name w:val="Заголовок 5 Знак"/>
    <w:basedOn w:val="831"/>
    <w:link w:val="826"/>
    <w:uiPriority w:val="9"/>
    <w:rPr>
      <w:rFonts w:ascii="Arial" w:hAnsi="Arial" w:eastAsia="Arial" w:cs="Arial"/>
      <w:b/>
      <w:bCs/>
      <w:sz w:val="24"/>
      <w:szCs w:val="24"/>
    </w:rPr>
  </w:style>
  <w:style w:type="character" w:styleId="839" w:customStyle="1">
    <w:name w:val="Заголовок 6 Знак"/>
    <w:basedOn w:val="831"/>
    <w:link w:val="827"/>
    <w:uiPriority w:val="9"/>
    <w:rPr>
      <w:rFonts w:ascii="Arial" w:hAnsi="Arial" w:eastAsia="Arial" w:cs="Arial"/>
      <w:b/>
      <w:bCs/>
      <w:sz w:val="22"/>
      <w:szCs w:val="22"/>
    </w:rPr>
  </w:style>
  <w:style w:type="character" w:styleId="840" w:customStyle="1">
    <w:name w:val="Заголовок 7 Знак"/>
    <w:basedOn w:val="831"/>
    <w:link w:val="8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41" w:customStyle="1">
    <w:name w:val="Заголовок 8 Знак"/>
    <w:basedOn w:val="831"/>
    <w:link w:val="829"/>
    <w:uiPriority w:val="9"/>
    <w:rPr>
      <w:rFonts w:ascii="Arial" w:hAnsi="Arial" w:eastAsia="Arial" w:cs="Arial"/>
      <w:i/>
      <w:iCs/>
      <w:sz w:val="22"/>
      <w:szCs w:val="22"/>
    </w:rPr>
  </w:style>
  <w:style w:type="character" w:styleId="842" w:customStyle="1">
    <w:name w:val="Заголовок 9 Знак"/>
    <w:basedOn w:val="831"/>
    <w:link w:val="830"/>
    <w:uiPriority w:val="9"/>
    <w:rPr>
      <w:rFonts w:ascii="Arial" w:hAnsi="Arial" w:eastAsia="Arial" w:cs="Arial"/>
      <w:i/>
      <w:iCs/>
      <w:sz w:val="21"/>
      <w:szCs w:val="21"/>
    </w:rPr>
  </w:style>
  <w:style w:type="paragraph" w:styleId="843">
    <w:name w:val="No Spacing"/>
    <w:uiPriority w:val="1"/>
    <w:qFormat/>
    <w:pPr>
      <w:spacing w:after="0" w:line="240" w:lineRule="auto"/>
    </w:pPr>
  </w:style>
  <w:style w:type="paragraph" w:styleId="844">
    <w:name w:val="Title"/>
    <w:basedOn w:val="821"/>
    <w:next w:val="821"/>
    <w:link w:val="84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45" w:customStyle="1">
    <w:name w:val="Заголовок Знак"/>
    <w:basedOn w:val="831"/>
    <w:link w:val="844"/>
    <w:uiPriority w:val="10"/>
    <w:rPr>
      <w:sz w:val="48"/>
      <w:szCs w:val="48"/>
    </w:rPr>
  </w:style>
  <w:style w:type="paragraph" w:styleId="846">
    <w:name w:val="Subtitle"/>
    <w:basedOn w:val="821"/>
    <w:next w:val="821"/>
    <w:link w:val="847"/>
    <w:uiPriority w:val="11"/>
    <w:qFormat/>
    <w:pPr>
      <w:spacing w:before="200" w:after="200"/>
    </w:pPr>
  </w:style>
  <w:style w:type="character" w:styleId="847" w:customStyle="1">
    <w:name w:val="Подзаголовок Знак"/>
    <w:basedOn w:val="831"/>
    <w:link w:val="846"/>
    <w:uiPriority w:val="11"/>
    <w:rPr>
      <w:sz w:val="24"/>
      <w:szCs w:val="24"/>
    </w:rPr>
  </w:style>
  <w:style w:type="paragraph" w:styleId="848">
    <w:name w:val="Quote"/>
    <w:basedOn w:val="821"/>
    <w:next w:val="821"/>
    <w:link w:val="849"/>
    <w:uiPriority w:val="29"/>
    <w:qFormat/>
    <w:pPr>
      <w:ind w:left="720" w:right="720"/>
    </w:pPr>
    <w:rPr>
      <w:i/>
    </w:rPr>
  </w:style>
  <w:style w:type="character" w:styleId="849" w:customStyle="1">
    <w:name w:val="Цитата 2 Знак"/>
    <w:link w:val="848"/>
    <w:uiPriority w:val="29"/>
    <w:rPr>
      <w:i/>
    </w:rPr>
  </w:style>
  <w:style w:type="paragraph" w:styleId="850">
    <w:name w:val="Intense Quote"/>
    <w:basedOn w:val="821"/>
    <w:next w:val="821"/>
    <w:link w:val="85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51" w:customStyle="1">
    <w:name w:val="Выделенная цитата Знак"/>
    <w:link w:val="850"/>
    <w:uiPriority w:val="30"/>
    <w:rPr>
      <w:i/>
    </w:rPr>
  </w:style>
  <w:style w:type="character" w:styleId="852" w:customStyle="1">
    <w:name w:val="Header Char"/>
    <w:basedOn w:val="831"/>
    <w:uiPriority w:val="99"/>
  </w:style>
  <w:style w:type="character" w:styleId="853" w:customStyle="1">
    <w:name w:val="Footer Char"/>
    <w:basedOn w:val="831"/>
    <w:uiPriority w:val="99"/>
  </w:style>
  <w:style w:type="paragraph" w:styleId="854">
    <w:name w:val="Caption"/>
    <w:basedOn w:val="821"/>
    <w:next w:val="821"/>
    <w:link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55" w:customStyle="1">
    <w:name w:val="Название объекта Знак"/>
    <w:basedOn w:val="831"/>
    <w:link w:val="854"/>
    <w:uiPriority w:val="35"/>
    <w:rPr>
      <w:b/>
      <w:bCs/>
      <w:color w:val="4f81bd" w:themeColor="accent1"/>
      <w:sz w:val="18"/>
      <w:szCs w:val="18"/>
    </w:rPr>
  </w:style>
  <w:style w:type="table" w:styleId="856" w:customStyle="1">
    <w:name w:val="Table Grid Light"/>
    <w:basedOn w:val="83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57">
    <w:name w:val="Plain Table 1"/>
    <w:basedOn w:val="83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8">
    <w:name w:val="Plain Table 2"/>
    <w:basedOn w:val="83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9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60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62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84" w:customStyle="1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85" w:customStyle="1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86" w:customStyle="1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87" w:customStyle="1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88" w:customStyle="1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89" w:customStyle="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90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91" w:customStyle="1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92" w:customStyle="1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93" w:customStyle="1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94" w:customStyle="1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95" w:customStyle="1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96" w:customStyle="1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97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98" w:customStyle="1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99" w:customStyle="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00" w:customStyle="1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01" w:customStyle="1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02" w:customStyle="1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03" w:customStyle="1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04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5" w:customStyle="1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6" w:customStyle="1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7" w:customStyle="1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8" w:customStyle="1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9" w:customStyle="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0" w:customStyle="1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1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19" w:customStyle="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20" w:customStyle="1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21" w:customStyle="1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22" w:customStyle="1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23" w:customStyle="1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24" w:customStyle="1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25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 w:customStyle="1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 w:customStyle="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 w:customStyle="1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 w:customStyle="1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 w:customStyle="1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 w:customStyle="1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 w:customStyle="1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 w:customStyle="1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 w:customStyle="1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 w:customStyle="1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0" w:customStyle="1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1" w:customStyle="1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2" w:customStyle="1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3" w:customStyle="1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4" w:customStyle="1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5" w:customStyle="1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6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47" w:customStyle="1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48" w:customStyle="1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49" w:customStyle="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50" w:customStyle="1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51" w:customStyle="1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52" w:customStyle="1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53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54" w:customStyle="1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55" w:customStyle="1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56" w:customStyle="1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57" w:customStyle="1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58" w:customStyle="1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59" w:customStyle="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60" w:customStyle="1">
    <w:name w:val="Lined - Accent"/>
    <w:basedOn w:val="8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61" w:customStyle="1">
    <w:name w:val="Lined - Accent 1"/>
    <w:basedOn w:val="8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62" w:customStyle="1">
    <w:name w:val="Lined - Accent 2"/>
    <w:basedOn w:val="8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63" w:customStyle="1">
    <w:name w:val="Lined - Accent 3"/>
    <w:basedOn w:val="8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64" w:customStyle="1">
    <w:name w:val="Lined - Accent 4"/>
    <w:basedOn w:val="8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65" w:customStyle="1">
    <w:name w:val="Lined - Accent 5"/>
    <w:basedOn w:val="8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66" w:customStyle="1">
    <w:name w:val="Lined - Accent 6"/>
    <w:basedOn w:val="8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67" w:customStyle="1">
    <w:name w:val="Bordered &amp; Lined - Accent"/>
    <w:basedOn w:val="8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68" w:customStyle="1">
    <w:name w:val="Bordered &amp; Lined - Accent 1"/>
    <w:basedOn w:val="8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69" w:customStyle="1">
    <w:name w:val="Bordered &amp; Lined - Accent 2"/>
    <w:basedOn w:val="8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70" w:customStyle="1">
    <w:name w:val="Bordered &amp; Lined - Accent 3"/>
    <w:basedOn w:val="8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71" w:customStyle="1">
    <w:name w:val="Bordered &amp; Lined - Accent 4"/>
    <w:basedOn w:val="8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72" w:customStyle="1">
    <w:name w:val="Bordered &amp; Lined - Accent 5"/>
    <w:basedOn w:val="8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73" w:customStyle="1">
    <w:name w:val="Bordered &amp; Lined - Accent 6"/>
    <w:basedOn w:val="8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74" w:customStyle="1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75" w:customStyle="1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76" w:customStyle="1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77" w:customStyle="1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78" w:customStyle="1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79" w:customStyle="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80" w:customStyle="1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81">
    <w:name w:val="footnote text"/>
    <w:basedOn w:val="821"/>
    <w:link w:val="982"/>
    <w:uiPriority w:val="99"/>
    <w:semiHidden/>
    <w:unhideWhenUsed/>
    <w:pPr>
      <w:spacing w:after="40"/>
    </w:pPr>
    <w:rPr>
      <w:sz w:val="18"/>
    </w:rPr>
  </w:style>
  <w:style w:type="character" w:styleId="982" w:customStyle="1">
    <w:name w:val="Текст сноски Знак"/>
    <w:link w:val="981"/>
    <w:uiPriority w:val="99"/>
    <w:rPr>
      <w:sz w:val="18"/>
    </w:rPr>
  </w:style>
  <w:style w:type="paragraph" w:styleId="983">
    <w:name w:val="endnote text"/>
    <w:basedOn w:val="821"/>
    <w:link w:val="984"/>
    <w:uiPriority w:val="99"/>
    <w:semiHidden/>
    <w:unhideWhenUsed/>
    <w:rPr>
      <w:sz w:val="20"/>
    </w:rPr>
  </w:style>
  <w:style w:type="character" w:styleId="984" w:customStyle="1">
    <w:name w:val="Текст концевой сноски Знак"/>
    <w:link w:val="983"/>
    <w:uiPriority w:val="99"/>
    <w:rPr>
      <w:sz w:val="20"/>
    </w:rPr>
  </w:style>
  <w:style w:type="character" w:styleId="985">
    <w:name w:val="endnote reference"/>
    <w:basedOn w:val="831"/>
    <w:uiPriority w:val="99"/>
    <w:semiHidden/>
    <w:unhideWhenUsed/>
    <w:rPr>
      <w:vertAlign w:val="superscript"/>
    </w:rPr>
  </w:style>
  <w:style w:type="paragraph" w:styleId="986">
    <w:name w:val="toc 1"/>
    <w:basedOn w:val="821"/>
    <w:next w:val="821"/>
    <w:uiPriority w:val="39"/>
    <w:unhideWhenUsed/>
    <w:pPr>
      <w:spacing w:after="57"/>
    </w:pPr>
  </w:style>
  <w:style w:type="paragraph" w:styleId="987">
    <w:name w:val="toc 2"/>
    <w:basedOn w:val="821"/>
    <w:next w:val="821"/>
    <w:uiPriority w:val="39"/>
    <w:unhideWhenUsed/>
    <w:pPr>
      <w:ind w:left="283"/>
      <w:spacing w:after="57"/>
    </w:pPr>
  </w:style>
  <w:style w:type="paragraph" w:styleId="988">
    <w:name w:val="toc 4"/>
    <w:basedOn w:val="821"/>
    <w:next w:val="821"/>
    <w:uiPriority w:val="39"/>
    <w:unhideWhenUsed/>
    <w:pPr>
      <w:ind w:left="850"/>
      <w:spacing w:after="57"/>
    </w:pPr>
  </w:style>
  <w:style w:type="paragraph" w:styleId="989">
    <w:name w:val="toc 5"/>
    <w:basedOn w:val="821"/>
    <w:next w:val="821"/>
    <w:uiPriority w:val="39"/>
    <w:unhideWhenUsed/>
    <w:pPr>
      <w:ind w:left="1134"/>
      <w:spacing w:after="57"/>
    </w:pPr>
  </w:style>
  <w:style w:type="paragraph" w:styleId="990">
    <w:name w:val="toc 6"/>
    <w:basedOn w:val="821"/>
    <w:next w:val="821"/>
    <w:uiPriority w:val="39"/>
    <w:unhideWhenUsed/>
    <w:pPr>
      <w:ind w:left="1417"/>
      <w:spacing w:after="57"/>
    </w:pPr>
  </w:style>
  <w:style w:type="paragraph" w:styleId="991">
    <w:name w:val="toc 7"/>
    <w:basedOn w:val="821"/>
    <w:next w:val="821"/>
    <w:uiPriority w:val="39"/>
    <w:unhideWhenUsed/>
    <w:pPr>
      <w:ind w:left="1701"/>
      <w:spacing w:after="57"/>
    </w:pPr>
  </w:style>
  <w:style w:type="paragraph" w:styleId="992">
    <w:name w:val="toc 8"/>
    <w:basedOn w:val="821"/>
    <w:next w:val="821"/>
    <w:uiPriority w:val="39"/>
    <w:unhideWhenUsed/>
    <w:pPr>
      <w:ind w:left="1984"/>
      <w:spacing w:after="57"/>
    </w:pPr>
  </w:style>
  <w:style w:type="paragraph" w:styleId="993">
    <w:name w:val="toc 9"/>
    <w:basedOn w:val="821"/>
    <w:next w:val="821"/>
    <w:uiPriority w:val="39"/>
    <w:unhideWhenUsed/>
    <w:pPr>
      <w:ind w:left="2268"/>
      <w:spacing w:after="57"/>
    </w:pPr>
  </w:style>
  <w:style w:type="paragraph" w:styleId="994">
    <w:name w:val="TOC Heading"/>
    <w:uiPriority w:val="39"/>
    <w:unhideWhenUsed/>
  </w:style>
  <w:style w:type="paragraph" w:styleId="995">
    <w:name w:val="table of figures"/>
    <w:basedOn w:val="821"/>
    <w:next w:val="821"/>
    <w:uiPriority w:val="99"/>
    <w:unhideWhenUsed/>
  </w:style>
  <w:style w:type="paragraph" w:styleId="996">
    <w:name w:val="Header"/>
    <w:basedOn w:val="821"/>
    <w:link w:val="997"/>
    <w:uiPriority w:val="99"/>
    <w:pPr>
      <w:tabs>
        <w:tab w:val="center" w:pos="4677" w:leader="none"/>
        <w:tab w:val="right" w:pos="9355" w:leader="none"/>
      </w:tabs>
    </w:pPr>
  </w:style>
  <w:style w:type="character" w:styleId="997" w:customStyle="1">
    <w:name w:val="Верхний колонтитул Знак"/>
    <w:basedOn w:val="831"/>
    <w:link w:val="99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8">
    <w:name w:val="Balloon Text"/>
    <w:basedOn w:val="821"/>
    <w:link w:val="999"/>
    <w:uiPriority w:val="99"/>
    <w:semiHidden/>
    <w:unhideWhenUsed/>
    <w:rPr>
      <w:rFonts w:ascii="Tahoma" w:hAnsi="Tahoma" w:cs="Tahoma"/>
      <w:sz w:val="16"/>
      <w:szCs w:val="16"/>
    </w:rPr>
  </w:style>
  <w:style w:type="character" w:styleId="999" w:customStyle="1">
    <w:name w:val="Текст выноски Знак"/>
    <w:basedOn w:val="831"/>
    <w:link w:val="99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1000">
    <w:name w:val="Hyperlink"/>
    <w:basedOn w:val="831"/>
    <w:uiPriority w:val="99"/>
    <w:unhideWhenUsed/>
    <w:rPr>
      <w:color w:val="0000ff" w:themeColor="hyperlink"/>
      <w:u w:val="single"/>
    </w:rPr>
  </w:style>
  <w:style w:type="paragraph" w:styleId="1001">
    <w:name w:val="Footer"/>
    <w:basedOn w:val="821"/>
    <w:link w:val="100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02" w:customStyle="1">
    <w:name w:val="Нижний колонтитул Знак"/>
    <w:basedOn w:val="831"/>
    <w:link w:val="100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3">
    <w:name w:val="List Number"/>
    <w:basedOn w:val="821"/>
    <w:uiPriority w:val="99"/>
    <w:unhideWhenUsed/>
    <w:pPr>
      <w:numPr>
        <w:ilvl w:val="0"/>
        <w:numId w:val="2"/>
      </w:numPr>
      <w:contextualSpacing/>
    </w:pPr>
  </w:style>
  <w:style w:type="character" w:styleId="1004">
    <w:name w:val="footnote reference"/>
    <w:basedOn w:val="831"/>
    <w:rPr>
      <w:vertAlign w:val="superscript"/>
    </w:rPr>
  </w:style>
  <w:style w:type="paragraph" w:styleId="1005">
    <w:name w:val="List Paragraph"/>
    <w:basedOn w:val="821"/>
    <w:link w:val="1011"/>
    <w:uiPriority w:val="34"/>
    <w:qFormat/>
    <w:pPr>
      <w:contextualSpacing/>
      <w:ind w:left="720"/>
    </w:pPr>
  </w:style>
  <w:style w:type="paragraph" w:styleId="1006" w:customStyle="1">
    <w:name w:val="Style12"/>
    <w:basedOn w:val="821"/>
    <w:pPr>
      <w:ind w:firstLine="691"/>
      <w:jc w:val="both"/>
      <w:spacing w:line="317" w:lineRule="exact"/>
      <w:widowControl w:val="off"/>
    </w:pPr>
  </w:style>
  <w:style w:type="character" w:styleId="1007" w:customStyle="1">
    <w:name w:val="Font Style128"/>
    <w:rPr>
      <w:rFonts w:hint="default" w:ascii="Times New Roman" w:hAnsi="Times New Roman" w:cs="Times New Roman"/>
      <w:color w:val="000000"/>
      <w:sz w:val="26"/>
      <w:szCs w:val="26"/>
    </w:rPr>
  </w:style>
  <w:style w:type="table" w:styleId="1008">
    <w:name w:val="Table Grid"/>
    <w:basedOn w:val="83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09">
    <w:name w:val="toc 3"/>
    <w:basedOn w:val="821"/>
    <w:next w:val="821"/>
    <w:semiHidden/>
    <w:pPr>
      <w:ind w:left="1979" w:right="1134" w:hanging="902"/>
      <w:spacing w:after="120"/>
      <w:tabs>
        <w:tab w:val="left" w:pos="1980" w:leader="none"/>
        <w:tab w:val="right" w:pos="10195" w:leader="dot"/>
      </w:tabs>
    </w:pPr>
    <w:rPr>
      <w:iCs/>
    </w:rPr>
  </w:style>
  <w:style w:type="character" w:styleId="1010">
    <w:name w:val="FollowedHyperlink"/>
    <w:rPr>
      <w:color w:val="800080"/>
      <w:u w:val="single"/>
    </w:rPr>
  </w:style>
  <w:style w:type="character" w:styleId="1011" w:customStyle="1">
    <w:name w:val="Абзац списка Знак"/>
    <w:link w:val="1005"/>
    <w:uiPriority w:val="34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12">
    <w:name w:val="page number"/>
    <w:rPr>
      <w:rFonts w:ascii="Times New Roman" w:hAnsi="Times New Roman"/>
      <w:sz w:val="20"/>
    </w:rPr>
  </w:style>
  <w:style w:type="character" w:styleId="1013">
    <w:name w:val="annotation reference"/>
    <w:basedOn w:val="831"/>
    <w:uiPriority w:val="99"/>
    <w:semiHidden/>
    <w:unhideWhenUsed/>
    <w:rPr>
      <w:sz w:val="16"/>
      <w:szCs w:val="16"/>
    </w:rPr>
  </w:style>
  <w:style w:type="paragraph" w:styleId="1014">
    <w:name w:val="annotation text"/>
    <w:basedOn w:val="821"/>
    <w:link w:val="1015"/>
    <w:uiPriority w:val="99"/>
    <w:semiHidden/>
    <w:unhideWhenUsed/>
    <w:rPr>
      <w:sz w:val="20"/>
      <w:szCs w:val="20"/>
    </w:rPr>
  </w:style>
  <w:style w:type="character" w:styleId="1015" w:customStyle="1">
    <w:name w:val="Текст примечания Знак"/>
    <w:basedOn w:val="831"/>
    <w:link w:val="1014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16">
    <w:name w:val="annotation subject"/>
    <w:basedOn w:val="1014"/>
    <w:next w:val="1014"/>
    <w:link w:val="1017"/>
    <w:uiPriority w:val="99"/>
    <w:semiHidden/>
    <w:unhideWhenUsed/>
    <w:rPr>
      <w:b/>
      <w:bCs/>
    </w:rPr>
  </w:style>
  <w:style w:type="character" w:styleId="1017" w:customStyle="1">
    <w:name w:val="Тема примечания Знак"/>
    <w:basedOn w:val="1015"/>
    <w:link w:val="1016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1018" w:customStyle="1">
    <w:name w:val="Подподпункт"/>
    <w:basedOn w:val="821"/>
    <w:link w:val="1019"/>
    <w:pPr>
      <w:numPr>
        <w:ilvl w:val="0"/>
        <w:numId w:val="37"/>
      </w:numPr>
      <w:jc w:val="both"/>
      <w:spacing w:line="360" w:lineRule="auto"/>
    </w:pPr>
    <w:rPr>
      <w:sz w:val="28"/>
      <w:szCs w:val="20"/>
    </w:rPr>
  </w:style>
  <w:style w:type="character" w:styleId="1019" w:customStyle="1">
    <w:name w:val="Подподпункт Знак"/>
    <w:link w:val="1018"/>
    <w:rPr>
      <w:rFonts w:ascii="Times New Roman" w:hAnsi="Times New Roman" w:eastAsia="Times New Roman" w:cs="Times New Roman"/>
      <w:sz w:val="28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s://irao.tektorg.ru" TargetMode="External"/><Relationship Id="rId13" Type="http://schemas.openxmlformats.org/officeDocument/2006/relationships/hyperlink" Target="https://irao.tektorg.ru" TargetMode="External"/><Relationship Id="rId14" Type="http://schemas.openxmlformats.org/officeDocument/2006/relationships/hyperlink" Target="https://irao.tektorg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D7B5F-313F-4E4E-9A9D-29D50FAC0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Inter RAO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UserIREF</dc:creator>
  <cp:lastModifiedBy>sukhonina_ta</cp:lastModifiedBy>
  <cp:revision>77</cp:revision>
  <dcterms:created xsi:type="dcterms:W3CDTF">2022-05-06T07:31:00Z</dcterms:created>
  <dcterms:modified xsi:type="dcterms:W3CDTF">2026-04-27T11:59:20Z</dcterms:modified>
</cp:coreProperties>
</file>